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8B1" w:rsidRDefault="00F008B1">
      <w:pPr>
        <w:ind w:firstLineChars="49" w:firstLine="103"/>
        <w:rPr>
          <w:rFonts w:hint="eastAsia"/>
          <w:b/>
        </w:rPr>
      </w:pPr>
    </w:p>
    <w:p w:rsidR="00F008B1" w:rsidRDefault="00DB26C4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F008B1" w:rsidRDefault="00DB26C4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008B1" w:rsidRDefault="00DB26C4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F008B1" w:rsidRDefault="00F008B1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9264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eDIujaAAAADAEAAA8AAAAA&#10;AAAAAQAgAAAAIgAAAGRycy9kb3ducmV2LnhtbFBLAQIUABQAAAAIAIdO4kDqL2e32QEAAJ8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640E67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F008B1" w:rsidRDefault="00DB26C4" w:rsidP="00640E67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管理会计学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</w:t>
      </w:r>
      <w:r w:rsidR="00640E67">
        <w:rPr>
          <w:rFonts w:ascii="黑体" w:eastAsia="黑体" w:hint="eastAsia"/>
          <w:b/>
          <w:sz w:val="30"/>
          <w:szCs w:val="30"/>
        </w:rPr>
        <w:t>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F008B1" w:rsidRDefault="00DB26C4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F008B1" w:rsidRDefault="00DB26C4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  <w:bookmarkStart w:id="0" w:name="_GoBack"/>
      <w:bookmarkEnd w:id="0"/>
    </w:p>
    <w:p w:rsidR="00F008B1" w:rsidRDefault="00DB26C4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p w:rsidR="00F008B1" w:rsidRDefault="00F008B1"/>
    <w:tbl>
      <w:tblPr>
        <w:tblpPr w:leftFromText="180" w:rightFromText="180" w:vertAnchor="text" w:horzAnchor="page" w:tblpX="4539" w:tblpY="88"/>
        <w:tblOverlap w:val="never"/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016"/>
        <w:gridCol w:w="930"/>
        <w:gridCol w:w="900"/>
        <w:gridCol w:w="900"/>
        <w:gridCol w:w="1125"/>
      </w:tblGrid>
      <w:tr w:rsidR="00F008B1">
        <w:trPr>
          <w:trHeight w:val="773"/>
        </w:trPr>
        <w:tc>
          <w:tcPr>
            <w:tcW w:w="1069" w:type="dxa"/>
            <w:vAlign w:val="center"/>
          </w:tcPr>
          <w:p w:rsidR="00F008B1" w:rsidRDefault="00DB26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1016" w:type="dxa"/>
            <w:vAlign w:val="center"/>
          </w:tcPr>
          <w:p w:rsidR="00F008B1" w:rsidRDefault="00DB26C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30" w:type="dxa"/>
            <w:vAlign w:val="center"/>
          </w:tcPr>
          <w:p w:rsidR="00F008B1" w:rsidRDefault="00DB26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900" w:type="dxa"/>
            <w:vAlign w:val="center"/>
          </w:tcPr>
          <w:p w:rsidR="00F008B1" w:rsidRDefault="00DB26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900" w:type="dxa"/>
            <w:vAlign w:val="center"/>
          </w:tcPr>
          <w:p w:rsidR="00F008B1" w:rsidRDefault="00DB26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1125" w:type="dxa"/>
            <w:vAlign w:val="center"/>
          </w:tcPr>
          <w:p w:rsidR="00F008B1" w:rsidRDefault="00DB26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 w:rsidR="00F008B1">
        <w:trPr>
          <w:trHeight w:val="598"/>
        </w:trPr>
        <w:tc>
          <w:tcPr>
            <w:tcW w:w="1069" w:type="dxa"/>
            <w:vAlign w:val="center"/>
          </w:tcPr>
          <w:p w:rsidR="00F008B1" w:rsidRDefault="00DB26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1016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008B1">
        <w:trPr>
          <w:trHeight w:val="598"/>
        </w:trPr>
        <w:tc>
          <w:tcPr>
            <w:tcW w:w="1069" w:type="dxa"/>
            <w:vAlign w:val="center"/>
          </w:tcPr>
          <w:p w:rsidR="00F008B1" w:rsidRDefault="00DB26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1016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F008B1" w:rsidRDefault="00F008B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008B1" w:rsidRDefault="00DB26C4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F008B1" w:rsidRDefault="00F008B1">
      <w:pPr>
        <w:rPr>
          <w:rFonts w:ascii="宋体" w:hAnsi="宋体"/>
          <w:sz w:val="24"/>
        </w:rPr>
      </w:pPr>
    </w:p>
    <w:p w:rsidR="00F008B1" w:rsidRDefault="00F008B1">
      <w:pPr>
        <w:spacing w:line="400" w:lineRule="exact"/>
        <w:rPr>
          <w:rFonts w:ascii="宋体" w:hAnsi="宋体" w:cs="宋体"/>
          <w:kern w:val="0"/>
          <w:sz w:val="24"/>
        </w:rPr>
      </w:pPr>
    </w:p>
    <w:p w:rsidR="00F008B1" w:rsidRDefault="00F008B1">
      <w:pPr>
        <w:spacing w:line="400" w:lineRule="exact"/>
        <w:rPr>
          <w:rFonts w:ascii="宋体" w:hAnsi="宋体" w:cs="宋体"/>
          <w:kern w:val="0"/>
          <w:sz w:val="24"/>
        </w:rPr>
      </w:pPr>
    </w:p>
    <w:p w:rsidR="00F008B1" w:rsidRDefault="00F008B1">
      <w:pPr>
        <w:spacing w:line="400" w:lineRule="exact"/>
        <w:rPr>
          <w:rFonts w:ascii="宋体" w:hAnsi="宋体" w:cs="宋体"/>
          <w:kern w:val="0"/>
          <w:sz w:val="24"/>
        </w:rPr>
      </w:pPr>
    </w:p>
    <w:p w:rsidR="00F008B1" w:rsidRDefault="00F008B1">
      <w:pPr>
        <w:widowControl/>
        <w:shd w:val="clear" w:color="auto" w:fill="FFFFFF"/>
        <w:tabs>
          <w:tab w:val="left" w:pos="3780"/>
        </w:tabs>
        <w:jc w:val="left"/>
        <w:rPr>
          <w:rFonts w:ascii="宋体" w:hAnsi="宋体" w:cs="宋体"/>
          <w:kern w:val="0"/>
          <w:sz w:val="24"/>
        </w:rPr>
      </w:pPr>
    </w:p>
    <w:p w:rsidR="00F008B1" w:rsidRDefault="00DB26C4">
      <w:r>
        <w:t xml:space="preserve">                                 </w:t>
      </w:r>
    </w:p>
    <w:p w:rsidR="00F008B1" w:rsidRDefault="00DB26C4">
      <w:pPr>
        <w:spacing w:line="360" w:lineRule="auto"/>
        <w:rPr>
          <w:rFonts w:ascii="宋体" w:hAnsi="宋体" w:cs="宋体"/>
          <w:b/>
          <w:color w:val="000000" w:themeColor="text1"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</w:t>
      </w:r>
      <w:r>
        <w:rPr>
          <w:rFonts w:ascii="宋体" w:hAnsi="宋体" w:cs="宋体" w:hint="eastAsia"/>
          <w:b/>
          <w:color w:val="000000" w:themeColor="text1"/>
          <w:sz w:val="24"/>
        </w:rPr>
        <w:t>一、单项选择</w:t>
      </w:r>
      <w:r>
        <w:rPr>
          <w:rFonts w:ascii="宋体" w:hAnsi="宋体" w:cs="宋体" w:hint="eastAsia"/>
          <w:b/>
          <w:color w:val="000000" w:themeColor="text1"/>
          <w:sz w:val="24"/>
        </w:rPr>
        <w:t>题。</w:t>
      </w:r>
      <w:r>
        <w:rPr>
          <w:rFonts w:ascii="宋体" w:hAnsi="宋体" w:cs="宋体" w:hint="eastAsia"/>
          <w:b/>
          <w:color w:val="000000" w:themeColor="text1"/>
          <w:sz w:val="24"/>
        </w:rPr>
        <w:t>（下列选项中只有一个答案是最准确的。每小题</w:t>
      </w:r>
      <w:r>
        <w:rPr>
          <w:rFonts w:ascii="宋体" w:hAnsi="宋体" w:cs="宋体" w:hint="eastAsia"/>
          <w:b/>
          <w:color w:val="000000" w:themeColor="text1"/>
          <w:sz w:val="24"/>
        </w:rPr>
        <w:t>2</w:t>
      </w:r>
      <w:r>
        <w:rPr>
          <w:rFonts w:ascii="宋体" w:hAnsi="宋体" w:cs="宋体" w:hint="eastAsia"/>
          <w:b/>
          <w:color w:val="000000" w:themeColor="text1"/>
          <w:sz w:val="24"/>
        </w:rPr>
        <w:t>分，共</w:t>
      </w:r>
      <w:r>
        <w:rPr>
          <w:rFonts w:ascii="宋体" w:hAnsi="宋体" w:cs="宋体" w:hint="eastAsia"/>
          <w:b/>
          <w:color w:val="000000" w:themeColor="text1"/>
          <w:sz w:val="24"/>
        </w:rPr>
        <w:t>20</w:t>
      </w:r>
      <w:r>
        <w:rPr>
          <w:rFonts w:ascii="宋体" w:hAnsi="宋体" w:cs="宋体" w:hint="eastAsia"/>
          <w:b/>
          <w:color w:val="000000" w:themeColor="text1"/>
          <w:sz w:val="24"/>
        </w:rPr>
        <w:t>分）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</w:t>
      </w:r>
      <w:r>
        <w:rPr>
          <w:rFonts w:ascii="宋体" w:hAnsi="宋体" w:cs="宋体" w:hint="eastAsia"/>
          <w:sz w:val="24"/>
        </w:rPr>
        <w:t>．在进行标准成本差异分析时，不能区分为价差和量差的成本是（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直接材料成本</w:t>
      </w:r>
      <w:r>
        <w:rPr>
          <w:rFonts w:ascii="宋体" w:hAnsi="宋体" w:cs="宋体" w:hint="eastAsia"/>
          <w:sz w:val="24"/>
        </w:rPr>
        <w:t xml:space="preserve">                 B </w:t>
      </w:r>
      <w:r>
        <w:rPr>
          <w:rFonts w:ascii="宋体" w:hAnsi="宋体" w:cs="宋体" w:hint="eastAsia"/>
          <w:sz w:val="24"/>
        </w:rPr>
        <w:t>直接人工成本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固定制造成本</w:t>
      </w:r>
      <w:r>
        <w:rPr>
          <w:rFonts w:ascii="宋体" w:hAnsi="宋体" w:cs="宋体" w:hint="eastAsia"/>
          <w:sz w:val="24"/>
        </w:rPr>
        <w:t xml:space="preserve">                 D </w:t>
      </w:r>
      <w:r>
        <w:rPr>
          <w:rFonts w:ascii="宋体" w:hAnsi="宋体" w:cs="宋体" w:hint="eastAsia"/>
          <w:sz w:val="24"/>
        </w:rPr>
        <w:t>变动制造成本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．责任成本是指该中心发生的（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工段成本之和</w:t>
      </w:r>
      <w:r>
        <w:rPr>
          <w:rFonts w:ascii="宋体" w:hAnsi="宋体" w:cs="宋体" w:hint="eastAsia"/>
          <w:sz w:val="24"/>
        </w:rPr>
        <w:t xml:space="preserve">                 B </w:t>
      </w:r>
      <w:r>
        <w:rPr>
          <w:rFonts w:ascii="宋体" w:hAnsi="宋体" w:cs="宋体" w:hint="eastAsia"/>
          <w:sz w:val="24"/>
        </w:rPr>
        <w:t>产品成本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可控成本之和</w:t>
      </w:r>
      <w:r>
        <w:rPr>
          <w:rFonts w:ascii="宋体" w:hAnsi="宋体" w:cs="宋体" w:hint="eastAsia"/>
          <w:sz w:val="24"/>
        </w:rPr>
        <w:t xml:space="preserve">                 D </w:t>
      </w:r>
      <w:r>
        <w:rPr>
          <w:rFonts w:ascii="宋体" w:hAnsi="宋体" w:cs="宋体" w:hint="eastAsia"/>
          <w:sz w:val="24"/>
        </w:rPr>
        <w:t>不可</w:t>
      </w:r>
      <w:proofErr w:type="gramStart"/>
      <w:r>
        <w:rPr>
          <w:rFonts w:ascii="宋体" w:hAnsi="宋体" w:cs="宋体" w:hint="eastAsia"/>
          <w:sz w:val="24"/>
        </w:rPr>
        <w:t>控成本</w:t>
      </w:r>
      <w:proofErr w:type="gramEnd"/>
      <w:r>
        <w:rPr>
          <w:rFonts w:ascii="宋体" w:hAnsi="宋体" w:cs="宋体" w:hint="eastAsia"/>
          <w:sz w:val="24"/>
        </w:rPr>
        <w:t>之</w:t>
      </w:r>
      <w:proofErr w:type="gramStart"/>
      <w:r>
        <w:rPr>
          <w:rFonts w:ascii="宋体" w:hAnsi="宋体" w:cs="宋体" w:hint="eastAsia"/>
          <w:sz w:val="24"/>
        </w:rPr>
        <w:t>和</w:t>
      </w:r>
      <w:proofErr w:type="gramEnd"/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</w:t>
      </w:r>
      <w:r>
        <w:rPr>
          <w:rFonts w:ascii="宋体" w:hAnsi="宋体" w:cs="宋体" w:hint="eastAsia"/>
          <w:sz w:val="24"/>
        </w:rPr>
        <w:t>．甲方案在三年中每年年初付款</w:t>
      </w:r>
      <w:r>
        <w:rPr>
          <w:rFonts w:ascii="宋体" w:hAnsi="宋体" w:cs="宋体" w:hint="eastAsia"/>
          <w:sz w:val="24"/>
        </w:rPr>
        <w:t>100</w:t>
      </w:r>
      <w:r>
        <w:rPr>
          <w:rFonts w:ascii="宋体" w:hAnsi="宋体" w:cs="宋体" w:hint="eastAsia"/>
          <w:sz w:val="24"/>
        </w:rPr>
        <w:t>元，乙方案在三年中每年年末付款</w:t>
      </w:r>
      <w:r>
        <w:rPr>
          <w:rFonts w:ascii="宋体" w:hAnsi="宋体" w:cs="宋体" w:hint="eastAsia"/>
          <w:sz w:val="24"/>
        </w:rPr>
        <w:t>100</w:t>
      </w:r>
      <w:r>
        <w:rPr>
          <w:rFonts w:ascii="宋体" w:hAnsi="宋体" w:cs="宋体" w:hint="eastAsia"/>
          <w:sz w:val="24"/>
        </w:rPr>
        <w:t>元，若利率为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％，则二者在第三年年</w:t>
      </w:r>
      <w:proofErr w:type="gramStart"/>
      <w:r>
        <w:rPr>
          <w:rFonts w:ascii="宋体" w:hAnsi="宋体" w:cs="宋体" w:hint="eastAsia"/>
          <w:sz w:val="24"/>
        </w:rPr>
        <w:t>末时</w:t>
      </w:r>
      <w:proofErr w:type="gramEnd"/>
      <w:r>
        <w:rPr>
          <w:rFonts w:ascii="宋体" w:hAnsi="宋体" w:cs="宋体" w:hint="eastAsia"/>
          <w:sz w:val="24"/>
        </w:rPr>
        <w:t>的终值相差（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）元（参见卷内附表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 33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1                       B 31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 xml:space="preserve">3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 133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1                      D 13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 xml:space="preserve">31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14.</w:t>
      </w:r>
      <w:r>
        <w:rPr>
          <w:rFonts w:ascii="宋体" w:hAnsi="宋体" w:cs="宋体" w:hint="eastAsia"/>
          <w:sz w:val="24"/>
        </w:rPr>
        <w:t>当投资决策方案具有不同的投资有效期时，具有较强可比性的决策指标是</w:t>
      </w:r>
      <w:r>
        <w:rPr>
          <w:rFonts w:ascii="宋体" w:hAnsi="宋体" w:cs="宋体" w:hint="eastAsia"/>
          <w:sz w:val="24"/>
        </w:rPr>
        <w:t xml:space="preserve">                                                         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净现值</w:t>
      </w:r>
      <w:r>
        <w:rPr>
          <w:rFonts w:ascii="宋体" w:hAnsi="宋体" w:cs="宋体" w:hint="eastAsia"/>
          <w:sz w:val="24"/>
        </w:rPr>
        <w:t xml:space="preserve">                      B </w:t>
      </w:r>
      <w:r>
        <w:rPr>
          <w:rFonts w:ascii="宋体" w:hAnsi="宋体" w:cs="宋体" w:hint="eastAsia"/>
          <w:sz w:val="24"/>
        </w:rPr>
        <w:t>净现值率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内部收益率</w:t>
      </w:r>
      <w:r>
        <w:rPr>
          <w:rFonts w:ascii="宋体" w:hAnsi="宋体" w:cs="宋体" w:hint="eastAsia"/>
          <w:sz w:val="24"/>
        </w:rPr>
        <w:t xml:space="preserve">                  D </w:t>
      </w:r>
      <w:r>
        <w:rPr>
          <w:rFonts w:ascii="宋体" w:hAnsi="宋体" w:cs="宋体" w:hint="eastAsia"/>
          <w:sz w:val="24"/>
        </w:rPr>
        <w:t>等年值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．两个可供选择的方案之间预期成本的差异即是（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边际成本</w:t>
      </w:r>
      <w:r>
        <w:rPr>
          <w:rFonts w:ascii="宋体" w:hAnsi="宋体" w:cs="宋体" w:hint="eastAsia"/>
          <w:sz w:val="24"/>
        </w:rPr>
        <w:t xml:space="preserve">                    B </w:t>
      </w:r>
      <w:r>
        <w:rPr>
          <w:rFonts w:ascii="宋体" w:hAnsi="宋体" w:cs="宋体" w:hint="eastAsia"/>
          <w:sz w:val="24"/>
        </w:rPr>
        <w:t>变动成本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差</w:t>
      </w:r>
      <w:proofErr w:type="gramStart"/>
      <w:r>
        <w:rPr>
          <w:rFonts w:ascii="宋体" w:hAnsi="宋体" w:cs="宋体" w:hint="eastAsia"/>
          <w:sz w:val="24"/>
        </w:rPr>
        <w:t>量成本</w:t>
      </w:r>
      <w:proofErr w:type="gramEnd"/>
      <w:r>
        <w:rPr>
          <w:rFonts w:ascii="宋体" w:hAnsi="宋体" w:cs="宋体" w:hint="eastAsia"/>
          <w:sz w:val="24"/>
        </w:rPr>
        <w:t xml:space="preserve">              </w:t>
      </w:r>
      <w:r>
        <w:rPr>
          <w:rFonts w:ascii="宋体" w:hAnsi="宋体" w:cs="宋体" w:hint="eastAsia"/>
          <w:sz w:val="24"/>
        </w:rPr>
        <w:t xml:space="preserve">      D </w:t>
      </w:r>
      <w:r>
        <w:rPr>
          <w:rFonts w:ascii="宋体" w:hAnsi="宋体" w:cs="宋体" w:hint="eastAsia"/>
          <w:sz w:val="24"/>
        </w:rPr>
        <w:t>机会成本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16</w:t>
      </w:r>
      <w:r>
        <w:rPr>
          <w:rFonts w:ascii="宋体" w:hAnsi="宋体" w:cs="宋体" w:hint="eastAsia"/>
          <w:sz w:val="24"/>
        </w:rPr>
        <w:t>．用变动成本法计算产品成本时，对固定</w:t>
      </w:r>
      <w:proofErr w:type="gramStart"/>
      <w:r>
        <w:rPr>
          <w:rFonts w:ascii="宋体" w:hAnsi="宋体" w:cs="宋体" w:hint="eastAsia"/>
          <w:sz w:val="24"/>
        </w:rPr>
        <w:t>性制造</w:t>
      </w:r>
      <w:proofErr w:type="gramEnd"/>
      <w:r>
        <w:rPr>
          <w:rFonts w:ascii="宋体" w:hAnsi="宋体" w:cs="宋体" w:hint="eastAsia"/>
          <w:sz w:val="24"/>
        </w:rPr>
        <w:t>费用的处理是（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不将其作为费用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B </w:t>
      </w:r>
      <w:r>
        <w:rPr>
          <w:rFonts w:ascii="宋体" w:hAnsi="宋体" w:cs="宋体" w:hint="eastAsia"/>
          <w:sz w:val="24"/>
        </w:rPr>
        <w:t>将其作为期间费用，全额列入利润表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将其作为期间费用，部分列入利润表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D </w:t>
      </w:r>
      <w:r>
        <w:rPr>
          <w:rFonts w:ascii="宋体" w:hAnsi="宋体" w:cs="宋体" w:hint="eastAsia"/>
          <w:sz w:val="24"/>
        </w:rPr>
        <w:t>在每单位产品间分摊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17</w:t>
      </w:r>
      <w:r>
        <w:rPr>
          <w:rFonts w:ascii="宋体" w:hAnsi="宋体" w:cs="宋体" w:hint="eastAsia"/>
          <w:sz w:val="24"/>
        </w:rPr>
        <w:t>．已知某产品的产量是</w:t>
      </w:r>
      <w:r>
        <w:rPr>
          <w:rFonts w:ascii="宋体" w:hAnsi="宋体" w:cs="宋体" w:hint="eastAsia"/>
          <w:sz w:val="24"/>
        </w:rPr>
        <w:t>200</w:t>
      </w:r>
      <w:r>
        <w:rPr>
          <w:rFonts w:ascii="宋体" w:hAnsi="宋体" w:cs="宋体" w:hint="eastAsia"/>
          <w:sz w:val="24"/>
        </w:rPr>
        <w:t>个，所耗直接材料、直接人工、变动制造费用、固定制造费用</w:t>
      </w:r>
      <w:proofErr w:type="gramStart"/>
      <w:r>
        <w:rPr>
          <w:rFonts w:ascii="宋体" w:hAnsi="宋体" w:cs="宋体" w:hint="eastAsia"/>
          <w:sz w:val="24"/>
        </w:rPr>
        <w:t>象</w:t>
      </w:r>
      <w:proofErr w:type="gramEnd"/>
      <w:r>
        <w:rPr>
          <w:rFonts w:ascii="宋体" w:hAnsi="宋体" w:cs="宋体" w:hint="eastAsia"/>
          <w:sz w:val="24"/>
        </w:rPr>
        <w:t>额依次为</w:t>
      </w:r>
      <w:r>
        <w:rPr>
          <w:rFonts w:ascii="宋体" w:hAnsi="宋体" w:cs="宋体" w:hint="eastAsia"/>
          <w:sz w:val="24"/>
        </w:rPr>
        <w:t>600</w:t>
      </w:r>
      <w:r>
        <w:rPr>
          <w:rFonts w:ascii="宋体" w:hAnsi="宋体" w:cs="宋体" w:hint="eastAsia"/>
          <w:sz w:val="24"/>
        </w:rPr>
        <w:t>元、</w:t>
      </w:r>
      <w:r>
        <w:rPr>
          <w:rFonts w:ascii="宋体" w:hAnsi="宋体" w:cs="宋体" w:hint="eastAsia"/>
          <w:sz w:val="24"/>
        </w:rPr>
        <w:t>400</w:t>
      </w:r>
      <w:r>
        <w:rPr>
          <w:rFonts w:ascii="宋体" w:hAnsi="宋体" w:cs="宋体" w:hint="eastAsia"/>
          <w:sz w:val="24"/>
        </w:rPr>
        <w:t>元、</w:t>
      </w:r>
      <w:r>
        <w:rPr>
          <w:rFonts w:ascii="宋体" w:hAnsi="宋体" w:cs="宋体" w:hint="eastAsia"/>
          <w:sz w:val="24"/>
        </w:rPr>
        <w:t>200</w:t>
      </w:r>
      <w:r>
        <w:rPr>
          <w:rFonts w:ascii="宋体" w:hAnsi="宋体" w:cs="宋体" w:hint="eastAsia"/>
          <w:sz w:val="24"/>
        </w:rPr>
        <w:t>元、</w:t>
      </w:r>
      <w:r>
        <w:rPr>
          <w:rFonts w:ascii="宋体" w:hAnsi="宋体" w:cs="宋体" w:hint="eastAsia"/>
          <w:sz w:val="24"/>
        </w:rPr>
        <w:t>800</w:t>
      </w:r>
      <w:r>
        <w:rPr>
          <w:rFonts w:ascii="宋体" w:hAnsi="宋体" w:cs="宋体" w:hint="eastAsia"/>
          <w:sz w:val="24"/>
        </w:rPr>
        <w:t>元。在变动成本法下，产品的单位生产成本是（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A 10</w:t>
      </w:r>
      <w:r>
        <w:rPr>
          <w:rFonts w:ascii="宋体" w:hAnsi="宋体" w:cs="宋体" w:hint="eastAsia"/>
          <w:sz w:val="24"/>
        </w:rPr>
        <w:t>元</w:t>
      </w:r>
      <w:r>
        <w:rPr>
          <w:rFonts w:ascii="宋体" w:hAnsi="宋体" w:cs="宋体" w:hint="eastAsia"/>
          <w:sz w:val="24"/>
        </w:rPr>
        <w:t xml:space="preserve">                       B 6</w:t>
      </w:r>
      <w:r>
        <w:rPr>
          <w:rFonts w:ascii="宋体" w:hAnsi="宋体" w:cs="宋体" w:hint="eastAsia"/>
          <w:sz w:val="24"/>
        </w:rPr>
        <w:t>元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 8</w:t>
      </w:r>
      <w:r>
        <w:rPr>
          <w:rFonts w:ascii="宋体" w:hAnsi="宋体" w:cs="宋体" w:hint="eastAsia"/>
          <w:sz w:val="24"/>
        </w:rPr>
        <w:t>元</w:t>
      </w:r>
      <w:r>
        <w:rPr>
          <w:rFonts w:ascii="宋体" w:hAnsi="宋体" w:cs="宋体" w:hint="eastAsia"/>
          <w:sz w:val="24"/>
        </w:rPr>
        <w:t xml:space="preserve">        </w:t>
      </w:r>
      <w:r>
        <w:rPr>
          <w:rFonts w:ascii="宋体" w:hAnsi="宋体" w:cs="宋体" w:hint="eastAsia"/>
          <w:sz w:val="24"/>
        </w:rPr>
        <w:t xml:space="preserve">                D 9</w:t>
      </w:r>
      <w:r>
        <w:rPr>
          <w:rFonts w:ascii="宋体" w:hAnsi="宋体" w:cs="宋体" w:hint="eastAsia"/>
          <w:sz w:val="24"/>
        </w:rPr>
        <w:t>元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18</w:t>
      </w:r>
      <w:r>
        <w:rPr>
          <w:rFonts w:ascii="宋体" w:hAnsi="宋体" w:cs="宋体" w:hint="eastAsia"/>
          <w:sz w:val="24"/>
        </w:rPr>
        <w:t>．成本中心控制和考核的内容是（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责任成本</w:t>
      </w:r>
      <w:r>
        <w:rPr>
          <w:rFonts w:ascii="宋体" w:hAnsi="宋体" w:cs="宋体" w:hint="eastAsia"/>
          <w:sz w:val="24"/>
        </w:rPr>
        <w:t xml:space="preserve">                    B </w:t>
      </w:r>
      <w:r>
        <w:rPr>
          <w:rFonts w:ascii="宋体" w:hAnsi="宋体" w:cs="宋体" w:hint="eastAsia"/>
          <w:sz w:val="24"/>
        </w:rPr>
        <w:t>产品成本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目标成本</w:t>
      </w:r>
      <w:r>
        <w:rPr>
          <w:rFonts w:ascii="宋体" w:hAnsi="宋体" w:cs="宋体" w:hint="eastAsia"/>
          <w:sz w:val="24"/>
        </w:rPr>
        <w:t xml:space="preserve">                    D </w:t>
      </w:r>
      <w:r>
        <w:rPr>
          <w:rFonts w:ascii="宋体" w:hAnsi="宋体" w:cs="宋体" w:hint="eastAsia"/>
          <w:sz w:val="24"/>
        </w:rPr>
        <w:t>不可控成本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19</w:t>
      </w:r>
      <w:r>
        <w:rPr>
          <w:rFonts w:ascii="宋体" w:hAnsi="宋体" w:cs="宋体" w:hint="eastAsia"/>
          <w:sz w:val="24"/>
        </w:rPr>
        <w:t>．标准成本制度的重点是（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标准成本的制定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B </w:t>
      </w:r>
      <w:r>
        <w:rPr>
          <w:rFonts w:ascii="宋体" w:hAnsi="宋体" w:cs="宋体" w:hint="eastAsia"/>
          <w:sz w:val="24"/>
        </w:rPr>
        <w:t>成本差异的计算分析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成本差异的账务处理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D </w:t>
      </w:r>
      <w:r>
        <w:rPr>
          <w:rFonts w:ascii="宋体" w:hAnsi="宋体" w:cs="宋体" w:hint="eastAsia"/>
          <w:sz w:val="24"/>
        </w:rPr>
        <w:t>成本控制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20.</w:t>
      </w:r>
      <w:r>
        <w:rPr>
          <w:rFonts w:ascii="宋体" w:hAnsi="宋体" w:cs="宋体" w:hint="eastAsia"/>
          <w:sz w:val="24"/>
        </w:rPr>
        <w:t>在对互斥方案进行决策时，最好采用的方法是（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投资回收期法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B </w:t>
      </w:r>
      <w:r>
        <w:rPr>
          <w:rFonts w:ascii="宋体" w:hAnsi="宋体" w:cs="宋体" w:hint="eastAsia"/>
          <w:sz w:val="24"/>
        </w:rPr>
        <w:t>净现值率法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净现值法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 xml:space="preserve">D </w:t>
      </w:r>
      <w:r>
        <w:rPr>
          <w:rFonts w:ascii="宋体" w:hAnsi="宋体" w:cs="宋体" w:hint="eastAsia"/>
          <w:sz w:val="24"/>
        </w:rPr>
        <w:t>内部收益率法</w:t>
      </w:r>
    </w:p>
    <w:p w:rsidR="00F008B1" w:rsidRDefault="00F008B1">
      <w:pPr>
        <w:rPr>
          <w:rFonts w:ascii="宋体" w:hAnsi="宋体" w:cs="宋体"/>
          <w:b/>
          <w:sz w:val="24"/>
        </w:rPr>
      </w:pP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sz w:val="24"/>
        </w:rPr>
        <w:t>二、多项选择题。（本题共</w:t>
      </w:r>
      <w:r>
        <w:rPr>
          <w:rFonts w:ascii="宋体" w:hAnsi="宋体" w:cs="宋体" w:hint="eastAsia"/>
          <w:b/>
          <w:sz w:val="24"/>
        </w:rPr>
        <w:t>10</w:t>
      </w:r>
      <w:r>
        <w:rPr>
          <w:rFonts w:ascii="宋体" w:hAnsi="宋体" w:cs="宋体" w:hint="eastAsia"/>
          <w:b/>
          <w:sz w:val="24"/>
        </w:rPr>
        <w:t>小题，每小题</w:t>
      </w:r>
      <w:r>
        <w:rPr>
          <w:rFonts w:ascii="宋体" w:hAnsi="宋体" w:cs="宋体" w:hint="eastAsia"/>
          <w:b/>
          <w:sz w:val="24"/>
        </w:rPr>
        <w:t>3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15</w:t>
      </w:r>
      <w:r>
        <w:rPr>
          <w:rFonts w:ascii="宋体" w:hAnsi="宋体" w:cs="宋体" w:hint="eastAsia"/>
          <w:b/>
          <w:sz w:val="24"/>
        </w:rPr>
        <w:t>分</w:t>
      </w:r>
      <w:r>
        <w:rPr>
          <w:rFonts w:ascii="宋体" w:hAnsi="宋体" w:cs="宋体" w:hint="eastAsia"/>
          <w:b/>
          <w:sz w:val="24"/>
        </w:rPr>
        <w:t>）</w:t>
      </w:r>
      <w:r>
        <w:rPr>
          <w:rFonts w:ascii="宋体" w:hAnsi="宋体" w:cs="宋体" w:hint="eastAsia"/>
          <w:kern w:val="0"/>
          <w:sz w:val="24"/>
        </w:rPr>
        <w:cr/>
      </w: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利润敏感性分析中四个因素的假定是指（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单价</w:t>
      </w:r>
      <w:r>
        <w:rPr>
          <w:rFonts w:ascii="宋体" w:hAnsi="宋体" w:cs="宋体" w:hint="eastAsia"/>
          <w:sz w:val="24"/>
        </w:rPr>
        <w:t xml:space="preserve">               B </w:t>
      </w:r>
      <w:r>
        <w:rPr>
          <w:rFonts w:ascii="宋体" w:hAnsi="宋体" w:cs="宋体" w:hint="eastAsia"/>
          <w:sz w:val="24"/>
        </w:rPr>
        <w:t>单位变动成本</w:t>
      </w:r>
      <w:r>
        <w:rPr>
          <w:rFonts w:ascii="宋体" w:hAnsi="宋体" w:cs="宋体" w:hint="eastAsia"/>
          <w:sz w:val="24"/>
        </w:rPr>
        <w:t xml:space="preserve">             C </w:t>
      </w:r>
      <w:r>
        <w:rPr>
          <w:rFonts w:ascii="宋体" w:hAnsi="宋体" w:cs="宋体" w:hint="eastAsia"/>
          <w:sz w:val="24"/>
        </w:rPr>
        <w:t>销售量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D </w:t>
      </w:r>
      <w:r>
        <w:rPr>
          <w:rFonts w:ascii="宋体" w:hAnsi="宋体" w:cs="宋体" w:hint="eastAsia"/>
          <w:sz w:val="24"/>
        </w:rPr>
        <w:t>固定成本总额</w:t>
      </w:r>
      <w:r>
        <w:rPr>
          <w:rFonts w:ascii="宋体" w:hAnsi="宋体" w:cs="宋体" w:hint="eastAsia"/>
          <w:sz w:val="24"/>
        </w:rPr>
        <w:t xml:space="preserve">       E </w:t>
      </w:r>
      <w:r>
        <w:rPr>
          <w:rFonts w:ascii="宋体" w:hAnsi="宋体" w:cs="宋体" w:hint="eastAsia"/>
          <w:sz w:val="24"/>
        </w:rPr>
        <w:t>所得税率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．利润中心分为（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自然利润中心</w:t>
      </w:r>
      <w:r>
        <w:rPr>
          <w:rFonts w:ascii="宋体" w:hAnsi="宋体" w:cs="宋体" w:hint="eastAsia"/>
          <w:sz w:val="24"/>
        </w:rPr>
        <w:t xml:space="preserve">       B  </w:t>
      </w:r>
      <w:r>
        <w:rPr>
          <w:rFonts w:ascii="宋体" w:hAnsi="宋体" w:cs="宋体" w:hint="eastAsia"/>
          <w:sz w:val="24"/>
        </w:rPr>
        <w:t>人为利润中心</w:t>
      </w:r>
      <w:r>
        <w:rPr>
          <w:rFonts w:ascii="宋体" w:hAnsi="宋体" w:cs="宋体" w:hint="eastAsia"/>
          <w:sz w:val="24"/>
        </w:rPr>
        <w:t xml:space="preserve">             C </w:t>
      </w:r>
      <w:r>
        <w:rPr>
          <w:rFonts w:ascii="宋体" w:hAnsi="宋体" w:cs="宋体" w:hint="eastAsia"/>
          <w:sz w:val="24"/>
        </w:rPr>
        <w:t>实际利润中心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D </w:t>
      </w:r>
      <w:r>
        <w:rPr>
          <w:rFonts w:ascii="宋体" w:hAnsi="宋体" w:cs="宋体" w:hint="eastAsia"/>
          <w:sz w:val="24"/>
        </w:rPr>
        <w:t>预算利润中心</w:t>
      </w:r>
      <w:r>
        <w:rPr>
          <w:rFonts w:ascii="宋体" w:hAnsi="宋体" w:cs="宋体" w:hint="eastAsia"/>
          <w:sz w:val="24"/>
        </w:rPr>
        <w:t xml:space="preserve">       E </w:t>
      </w:r>
      <w:r>
        <w:rPr>
          <w:rFonts w:ascii="宋体" w:hAnsi="宋体" w:cs="宋体" w:hint="eastAsia"/>
          <w:sz w:val="24"/>
        </w:rPr>
        <w:t>标准利润中心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．管理会计的主体有（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proofErr w:type="gramStart"/>
      <w:r>
        <w:rPr>
          <w:rFonts w:ascii="宋体" w:hAnsi="宋体" w:cs="宋体" w:hint="eastAsia"/>
          <w:sz w:val="24"/>
        </w:rPr>
        <w:t>师企业</w:t>
      </w:r>
      <w:proofErr w:type="gramEnd"/>
      <w:r>
        <w:rPr>
          <w:rFonts w:ascii="宋体" w:hAnsi="宋体" w:cs="宋体" w:hint="eastAsia"/>
          <w:sz w:val="24"/>
        </w:rPr>
        <w:t>整体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B </w:t>
      </w:r>
      <w:r>
        <w:rPr>
          <w:rFonts w:ascii="宋体" w:hAnsi="宋体" w:cs="宋体" w:hint="eastAsia"/>
          <w:sz w:val="24"/>
        </w:rPr>
        <w:t>企业内部各个层次的所有责任单位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企业的最高领导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D </w:t>
      </w:r>
      <w:r>
        <w:rPr>
          <w:rFonts w:ascii="宋体" w:hAnsi="宋体" w:cs="宋体" w:hint="eastAsia"/>
          <w:sz w:val="24"/>
        </w:rPr>
        <w:t>责任人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E </w:t>
      </w:r>
      <w:r>
        <w:rPr>
          <w:rFonts w:ascii="宋体" w:hAnsi="宋体" w:cs="宋体" w:hint="eastAsia"/>
          <w:sz w:val="24"/>
        </w:rPr>
        <w:t>企业的主管部门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</w:t>
      </w:r>
      <w:r>
        <w:rPr>
          <w:rFonts w:ascii="宋体" w:hAnsi="宋体" w:cs="宋体" w:hint="eastAsia"/>
          <w:sz w:val="24"/>
        </w:rPr>
        <w:t>管理会计与财务会计的现金流量表相比，在形式上主要存在的差别有（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反映的对象不同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B </w:t>
      </w:r>
      <w:r>
        <w:rPr>
          <w:rFonts w:ascii="宋体" w:hAnsi="宋体" w:cs="宋体" w:hint="eastAsia"/>
          <w:sz w:val="24"/>
        </w:rPr>
        <w:t>期间特征不同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结构不同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D </w:t>
      </w:r>
      <w:r>
        <w:rPr>
          <w:rFonts w:ascii="宋体" w:hAnsi="宋体" w:cs="宋体" w:hint="eastAsia"/>
          <w:sz w:val="24"/>
        </w:rPr>
        <w:t>勾</w:t>
      </w:r>
      <w:proofErr w:type="gramStart"/>
      <w:r>
        <w:rPr>
          <w:rFonts w:ascii="宋体" w:hAnsi="宋体" w:cs="宋体" w:hint="eastAsia"/>
          <w:sz w:val="24"/>
        </w:rPr>
        <w:t>稽</w:t>
      </w:r>
      <w:proofErr w:type="gramEnd"/>
      <w:r>
        <w:rPr>
          <w:rFonts w:ascii="宋体" w:hAnsi="宋体" w:cs="宋体" w:hint="eastAsia"/>
          <w:sz w:val="24"/>
        </w:rPr>
        <w:t>关系不同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E </w:t>
      </w:r>
      <w:r>
        <w:rPr>
          <w:rFonts w:ascii="宋体" w:hAnsi="宋体" w:cs="宋体" w:hint="eastAsia"/>
          <w:sz w:val="24"/>
        </w:rPr>
        <w:t>信息属性不同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．属于趋势外推分析法的是（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A </w:t>
      </w:r>
      <w:r>
        <w:rPr>
          <w:rFonts w:ascii="宋体" w:hAnsi="宋体" w:cs="宋体" w:hint="eastAsia"/>
          <w:sz w:val="24"/>
        </w:rPr>
        <w:t>移动平均法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B </w:t>
      </w:r>
      <w:r>
        <w:rPr>
          <w:rFonts w:ascii="宋体" w:hAnsi="宋体" w:cs="宋体" w:hint="eastAsia"/>
          <w:sz w:val="24"/>
        </w:rPr>
        <w:t>平滑指数法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C </w:t>
      </w:r>
      <w:r>
        <w:rPr>
          <w:rFonts w:ascii="宋体" w:hAnsi="宋体" w:cs="宋体" w:hint="eastAsia"/>
          <w:sz w:val="24"/>
        </w:rPr>
        <w:t>回归分析法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D </w:t>
      </w:r>
      <w:proofErr w:type="gramStart"/>
      <w:r>
        <w:rPr>
          <w:rFonts w:ascii="宋体" w:hAnsi="宋体" w:cs="宋体" w:hint="eastAsia"/>
          <w:sz w:val="24"/>
        </w:rPr>
        <w:t>本量利分析</w:t>
      </w:r>
      <w:proofErr w:type="gramEnd"/>
      <w:r>
        <w:rPr>
          <w:rFonts w:ascii="宋体" w:hAnsi="宋体" w:cs="宋体" w:hint="eastAsia"/>
          <w:sz w:val="24"/>
        </w:rPr>
        <w:t>法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E </w:t>
      </w:r>
      <w:r>
        <w:rPr>
          <w:rFonts w:ascii="宋体" w:hAnsi="宋体" w:cs="宋体" w:hint="eastAsia"/>
          <w:sz w:val="24"/>
        </w:rPr>
        <w:t>修正的时间序列回归分析法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lastRenderedPageBreak/>
        <w:t>三</w:t>
      </w:r>
      <w:r>
        <w:rPr>
          <w:rFonts w:ascii="宋体" w:hAnsi="宋体" w:cs="宋体" w:hint="eastAsia"/>
          <w:b/>
          <w:bCs/>
          <w:sz w:val="24"/>
        </w:rPr>
        <w:t>、简答题。（每小题</w:t>
      </w:r>
      <w:r>
        <w:rPr>
          <w:rFonts w:ascii="宋体" w:hAnsi="宋体" w:cs="宋体" w:hint="eastAsia"/>
          <w:b/>
          <w:bCs/>
          <w:sz w:val="24"/>
        </w:rPr>
        <w:t>10</w:t>
      </w:r>
      <w:r>
        <w:rPr>
          <w:rFonts w:ascii="宋体" w:hAnsi="宋体" w:cs="宋体" w:hint="eastAsia"/>
          <w:b/>
          <w:bCs/>
          <w:sz w:val="24"/>
        </w:rPr>
        <w:t>分，共</w:t>
      </w: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hAnsi="宋体" w:cs="宋体" w:hint="eastAsia"/>
          <w:b/>
          <w:bCs/>
          <w:sz w:val="24"/>
        </w:rPr>
        <w:t>0</w:t>
      </w:r>
      <w:r>
        <w:rPr>
          <w:rFonts w:ascii="宋体" w:hAnsi="宋体" w:cs="宋体" w:hint="eastAsia"/>
          <w:b/>
          <w:bCs/>
          <w:sz w:val="24"/>
        </w:rPr>
        <w:t>分）</w:t>
      </w:r>
      <w:r>
        <w:rPr>
          <w:rFonts w:ascii="宋体" w:hAnsi="宋体" w:cs="宋体" w:hint="eastAsia"/>
          <w:b/>
          <w:bCs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简述成本性态的概念及特点</w:t>
      </w:r>
      <w:r>
        <w:rPr>
          <w:rFonts w:ascii="宋体" w:hAnsi="宋体" w:cs="宋体" w:hint="eastAsia"/>
          <w:sz w:val="24"/>
        </w:rPr>
        <w:t xml:space="preserve">. </w:t>
      </w: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简述决策分析的程序</w:t>
      </w:r>
      <w:r>
        <w:rPr>
          <w:rFonts w:ascii="宋体" w:hAnsi="宋体" w:cs="宋体" w:hint="eastAsia"/>
          <w:sz w:val="24"/>
        </w:rPr>
        <w:t xml:space="preserve">. </w:t>
      </w: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F008B1">
      <w:pPr>
        <w:rPr>
          <w:rFonts w:ascii="宋体" w:hAnsi="宋体" w:cs="宋体"/>
          <w:b/>
          <w:bCs/>
          <w:sz w:val="24"/>
        </w:rPr>
      </w:pP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四</w:t>
      </w:r>
      <w:r>
        <w:rPr>
          <w:rFonts w:ascii="宋体" w:hAnsi="宋体" w:cs="宋体" w:hint="eastAsia"/>
          <w:b/>
          <w:bCs/>
          <w:sz w:val="24"/>
        </w:rPr>
        <w:t>、计算题</w:t>
      </w:r>
      <w:r>
        <w:rPr>
          <w:rFonts w:ascii="宋体" w:hAnsi="宋体" w:cs="宋体" w:hint="eastAsia"/>
          <w:b/>
          <w:bCs/>
          <w:sz w:val="24"/>
        </w:rPr>
        <w:t>。</w:t>
      </w:r>
      <w:r>
        <w:rPr>
          <w:rFonts w:ascii="宋体" w:hAnsi="宋体" w:cs="宋体" w:hint="eastAsia"/>
          <w:b/>
          <w:bCs/>
          <w:sz w:val="24"/>
        </w:rPr>
        <w:t>(</w:t>
      </w:r>
      <w:r>
        <w:rPr>
          <w:rFonts w:ascii="宋体" w:hAnsi="宋体" w:cs="宋体" w:hint="eastAsia"/>
          <w:b/>
          <w:bCs/>
          <w:sz w:val="24"/>
        </w:rPr>
        <w:t>每小题</w:t>
      </w:r>
      <w:r>
        <w:rPr>
          <w:rFonts w:ascii="宋体" w:hAnsi="宋体" w:cs="宋体" w:hint="eastAsia"/>
          <w:b/>
          <w:bCs/>
          <w:sz w:val="24"/>
        </w:rPr>
        <w:t>15</w:t>
      </w:r>
      <w:r>
        <w:rPr>
          <w:rFonts w:ascii="宋体" w:hAnsi="宋体" w:cs="宋体" w:hint="eastAsia"/>
          <w:b/>
          <w:bCs/>
          <w:sz w:val="24"/>
        </w:rPr>
        <w:t>分，共</w:t>
      </w:r>
      <w:r>
        <w:rPr>
          <w:rFonts w:ascii="宋体" w:hAnsi="宋体" w:cs="宋体" w:hint="eastAsia"/>
          <w:b/>
          <w:bCs/>
          <w:sz w:val="24"/>
        </w:rPr>
        <w:t>45</w:t>
      </w:r>
      <w:r>
        <w:rPr>
          <w:rFonts w:ascii="宋体" w:hAnsi="宋体" w:cs="宋体" w:hint="eastAsia"/>
          <w:b/>
          <w:bCs/>
          <w:sz w:val="24"/>
        </w:rPr>
        <w:t>分</w:t>
      </w:r>
      <w:r>
        <w:rPr>
          <w:rFonts w:ascii="宋体" w:hAnsi="宋体" w:cs="宋体" w:hint="eastAsia"/>
          <w:b/>
          <w:bCs/>
          <w:sz w:val="24"/>
        </w:rPr>
        <w:t xml:space="preserve">)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．已知：某建设项目的净现金流量如下：</w:t>
      </w:r>
      <w:r>
        <w:rPr>
          <w:rFonts w:ascii="宋体" w:hAnsi="宋体" w:cs="宋体" w:hint="eastAsia"/>
          <w:sz w:val="24"/>
        </w:rPr>
        <w:t>NCF</w:t>
      </w:r>
      <w:r>
        <w:rPr>
          <w:rFonts w:ascii="宋体" w:hAnsi="宋体" w:cs="宋体" w:hint="eastAsia"/>
          <w:sz w:val="24"/>
          <w:vertAlign w:val="subscript"/>
        </w:rPr>
        <w:t>0</w:t>
      </w:r>
      <w:r>
        <w:rPr>
          <w:rFonts w:ascii="宋体" w:hAnsi="宋体" w:cs="宋体" w:hint="eastAsia"/>
          <w:sz w:val="24"/>
        </w:rPr>
        <w:t>=100</w:t>
      </w:r>
      <w:r>
        <w:rPr>
          <w:rFonts w:ascii="宋体" w:hAnsi="宋体" w:cs="宋体" w:hint="eastAsia"/>
          <w:sz w:val="24"/>
        </w:rPr>
        <w:t>万元，</w:t>
      </w:r>
      <w:r>
        <w:rPr>
          <w:rFonts w:ascii="宋体" w:hAnsi="宋体" w:cs="宋体" w:hint="eastAsia"/>
          <w:sz w:val="24"/>
        </w:rPr>
        <w:t>NCF</w:t>
      </w:r>
      <w:r>
        <w:rPr>
          <w:rFonts w:ascii="宋体" w:hAnsi="宋体" w:cs="宋体" w:hint="eastAsia"/>
          <w:sz w:val="24"/>
          <w:vertAlign w:val="subscript"/>
        </w:rPr>
        <w:t>1-10</w:t>
      </w:r>
      <w:r>
        <w:rPr>
          <w:rFonts w:ascii="宋体" w:hAnsi="宋体" w:cs="宋体" w:hint="eastAsia"/>
          <w:sz w:val="24"/>
        </w:rPr>
        <w:t xml:space="preserve"> =25</w:t>
      </w:r>
      <w:r>
        <w:rPr>
          <w:rFonts w:ascii="宋体" w:hAnsi="宋体" w:cs="宋体" w:hint="eastAsia"/>
          <w:sz w:val="24"/>
        </w:rPr>
        <w:t>万元，折现率为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％。要求：计算该项目的净现值和内部收益率。（结果保留两位小数）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r>
        <w:rPr>
          <w:rFonts w:ascii="宋体" w:hAnsi="宋体" w:cs="宋体" w:hint="eastAsia"/>
          <w:sz w:val="24"/>
        </w:rPr>
        <w:t>注：</w:t>
      </w:r>
      <w:r>
        <w:rPr>
          <w:rFonts w:hint="eastAsia"/>
        </w:rPr>
        <w:t>查年金现值系数表有：</w:t>
      </w:r>
      <w:proofErr w:type="spellStart"/>
      <w:r>
        <w:t>i</w:t>
      </w:r>
      <w:proofErr w:type="spellEnd"/>
      <w:r>
        <w:t>＝</w:t>
      </w:r>
      <w:r>
        <w:t>20%</w:t>
      </w:r>
      <w:r>
        <w:t>，年金现值系数</w:t>
      </w:r>
      <w:r>
        <w:t xml:space="preserve">=4.192 </w:t>
      </w:r>
      <w:r>
        <w:rPr>
          <w:rFonts w:hint="eastAsia"/>
        </w:rPr>
        <w:t>，</w:t>
      </w:r>
      <w:proofErr w:type="spellStart"/>
      <w:r>
        <w:t>i</w:t>
      </w:r>
      <w:proofErr w:type="spellEnd"/>
      <w:r>
        <w:t>＝</w:t>
      </w:r>
      <w:r>
        <w:t>22</w:t>
      </w:r>
      <w:r>
        <w:t>％，年金现值系数</w:t>
      </w:r>
      <w:r>
        <w:t xml:space="preserve">=3.923 </w:t>
      </w: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．已知：某公司只销售一种产品，</w:t>
      </w:r>
      <w:r>
        <w:rPr>
          <w:rFonts w:ascii="宋体" w:hAnsi="宋体" w:cs="宋体" w:hint="eastAsia"/>
          <w:sz w:val="24"/>
        </w:rPr>
        <w:t>2000</w:t>
      </w:r>
      <w:r>
        <w:rPr>
          <w:rFonts w:ascii="宋体" w:hAnsi="宋体" w:cs="宋体" w:hint="eastAsia"/>
          <w:sz w:val="24"/>
        </w:rPr>
        <w:t>年单位变动成本为</w:t>
      </w:r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元</w:t>
      </w:r>
      <w:r>
        <w:rPr>
          <w:rFonts w:ascii="宋体" w:hAnsi="宋体" w:cs="宋体" w:hint="eastAsia"/>
          <w:sz w:val="24"/>
        </w:rPr>
        <w:t>/</w:t>
      </w:r>
      <w:r>
        <w:rPr>
          <w:rFonts w:ascii="宋体" w:hAnsi="宋体" w:cs="宋体" w:hint="eastAsia"/>
          <w:sz w:val="24"/>
        </w:rPr>
        <w:t>件，变动成本总额为</w:t>
      </w:r>
      <w:r>
        <w:rPr>
          <w:rFonts w:ascii="宋体" w:hAnsi="宋体" w:cs="宋体" w:hint="eastAsia"/>
          <w:sz w:val="24"/>
        </w:rPr>
        <w:t>60000</w:t>
      </w:r>
      <w:r>
        <w:rPr>
          <w:rFonts w:ascii="宋体" w:hAnsi="宋体" w:cs="宋体" w:hint="eastAsia"/>
          <w:sz w:val="24"/>
        </w:rPr>
        <w:t>元，共获税前利润</w:t>
      </w:r>
      <w:r>
        <w:rPr>
          <w:rFonts w:ascii="宋体" w:hAnsi="宋体" w:cs="宋体" w:hint="eastAsia"/>
          <w:sz w:val="24"/>
        </w:rPr>
        <w:t>18000</w:t>
      </w:r>
      <w:r>
        <w:rPr>
          <w:rFonts w:ascii="宋体" w:hAnsi="宋体" w:cs="宋体" w:hint="eastAsia"/>
          <w:sz w:val="24"/>
        </w:rPr>
        <w:t>元，若该公司计划于</w:t>
      </w:r>
      <w:r>
        <w:rPr>
          <w:rFonts w:ascii="宋体" w:hAnsi="宋体" w:cs="宋体" w:hint="eastAsia"/>
          <w:sz w:val="24"/>
        </w:rPr>
        <w:t>2001</w:t>
      </w:r>
      <w:r>
        <w:rPr>
          <w:rFonts w:ascii="宋体" w:hAnsi="宋体" w:cs="宋体" w:hint="eastAsia"/>
          <w:sz w:val="24"/>
        </w:rPr>
        <w:t>年维持销售单价不变，变动成本率仍维持</w:t>
      </w:r>
      <w:r>
        <w:rPr>
          <w:rFonts w:ascii="宋体" w:hAnsi="宋体" w:cs="宋体" w:hint="eastAsia"/>
          <w:sz w:val="24"/>
        </w:rPr>
        <w:t>2000</w:t>
      </w:r>
      <w:r>
        <w:rPr>
          <w:rFonts w:ascii="宋体" w:hAnsi="宋体" w:cs="宋体" w:hint="eastAsia"/>
          <w:sz w:val="24"/>
        </w:rPr>
        <w:t>年的</w:t>
      </w:r>
      <w:r>
        <w:rPr>
          <w:rFonts w:ascii="宋体" w:hAnsi="宋体" w:cs="宋体" w:hint="eastAsia"/>
          <w:sz w:val="24"/>
        </w:rPr>
        <w:t>40</w:t>
      </w:r>
      <w:r>
        <w:rPr>
          <w:rFonts w:ascii="宋体" w:hAnsi="宋体" w:cs="宋体" w:hint="eastAsia"/>
          <w:sz w:val="24"/>
        </w:rPr>
        <w:t>％。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要求：（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）预测</w:t>
      </w:r>
      <w:r>
        <w:rPr>
          <w:rFonts w:ascii="宋体" w:hAnsi="宋体" w:cs="宋体" w:hint="eastAsia"/>
          <w:sz w:val="24"/>
        </w:rPr>
        <w:t>2001</w:t>
      </w:r>
      <w:r>
        <w:rPr>
          <w:rFonts w:ascii="宋体" w:hAnsi="宋体" w:cs="宋体" w:hint="eastAsia"/>
          <w:sz w:val="24"/>
        </w:rPr>
        <w:t>年的保本销售量；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）若</w:t>
      </w:r>
      <w:r>
        <w:rPr>
          <w:rFonts w:ascii="宋体" w:hAnsi="宋体" w:cs="宋体" w:hint="eastAsia"/>
          <w:sz w:val="24"/>
        </w:rPr>
        <w:t>2001</w:t>
      </w:r>
      <w:r>
        <w:rPr>
          <w:rFonts w:ascii="宋体" w:hAnsi="宋体" w:cs="宋体" w:hint="eastAsia"/>
          <w:sz w:val="24"/>
        </w:rPr>
        <w:t>年的计划销售量比</w:t>
      </w:r>
      <w:r>
        <w:rPr>
          <w:rFonts w:ascii="宋体" w:hAnsi="宋体" w:cs="宋体" w:hint="eastAsia"/>
          <w:sz w:val="24"/>
        </w:rPr>
        <w:t>2000</w:t>
      </w:r>
      <w:r>
        <w:rPr>
          <w:rFonts w:ascii="宋体" w:hAnsi="宋体" w:cs="宋体" w:hint="eastAsia"/>
          <w:sz w:val="24"/>
        </w:rPr>
        <w:t>年提高</w:t>
      </w:r>
      <w:r>
        <w:rPr>
          <w:rFonts w:ascii="宋体" w:hAnsi="宋体" w:cs="宋体" w:hint="eastAsia"/>
          <w:sz w:val="24"/>
        </w:rPr>
        <w:t>8%</w:t>
      </w:r>
      <w:r>
        <w:rPr>
          <w:rFonts w:ascii="宋体" w:hAnsi="宋体" w:cs="宋体" w:hint="eastAsia"/>
          <w:sz w:val="24"/>
        </w:rPr>
        <w:t>，则可获得多少税前利润？</w:t>
      </w:r>
      <w:r>
        <w:rPr>
          <w:rFonts w:ascii="宋体" w:hAnsi="宋体" w:cs="宋体" w:hint="eastAsia"/>
          <w:sz w:val="24"/>
        </w:rPr>
        <w:t xml:space="preserve"> </w:t>
      </w: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F008B1">
      <w:pPr>
        <w:rPr>
          <w:rFonts w:ascii="宋体" w:hAnsi="宋体" w:cs="宋体"/>
          <w:sz w:val="24"/>
        </w:rPr>
      </w:pPr>
    </w:p>
    <w:p w:rsidR="00F008B1" w:rsidRDefault="00DB26C4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3. </w:t>
      </w:r>
      <w:r>
        <w:rPr>
          <w:rFonts w:ascii="宋体" w:hAnsi="宋体" w:cs="宋体" w:hint="eastAsia"/>
          <w:sz w:val="24"/>
        </w:rPr>
        <w:t>某投资中心投资额为</w:t>
      </w:r>
      <w:r>
        <w:rPr>
          <w:rFonts w:ascii="宋体" w:hAnsi="宋体" w:cs="宋体" w:hint="eastAsia"/>
          <w:sz w:val="24"/>
        </w:rPr>
        <w:t>200000</w:t>
      </w:r>
      <w:r>
        <w:rPr>
          <w:rFonts w:ascii="宋体" w:hAnsi="宋体" w:cs="宋体" w:hint="eastAsia"/>
          <w:sz w:val="24"/>
        </w:rPr>
        <w:t>元，年净利润为</w:t>
      </w:r>
      <w:r>
        <w:rPr>
          <w:rFonts w:ascii="宋体" w:hAnsi="宋体" w:cs="宋体" w:hint="eastAsia"/>
          <w:sz w:val="24"/>
        </w:rPr>
        <w:t>40000</w:t>
      </w:r>
      <w:r>
        <w:rPr>
          <w:rFonts w:ascii="宋体" w:hAnsi="宋体" w:cs="宋体" w:hint="eastAsia"/>
          <w:sz w:val="24"/>
        </w:rPr>
        <w:t>元，公司为该投资中心规定的最低投资报酬率为</w:t>
      </w:r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％。请计算该投资中心的投资报酬率和剩余收益。</w:t>
      </w:r>
    </w:p>
    <w:p w:rsidR="00F008B1" w:rsidRDefault="00DB26C4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</w:p>
    <w:sectPr w:rsidR="00F008B1">
      <w:headerReference w:type="default" r:id="rId11"/>
      <w:footerReference w:type="default" r:id="rId12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6C4" w:rsidRDefault="00DB26C4">
      <w:r>
        <w:separator/>
      </w:r>
    </w:p>
  </w:endnote>
  <w:endnote w:type="continuationSeparator" w:id="0">
    <w:p w:rsidR="00DB26C4" w:rsidRDefault="00DB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8B1" w:rsidRDefault="00DB26C4">
    <w:pPr>
      <w:pStyle w:val="a7"/>
      <w:ind w:firstLineChars="4000" w:firstLine="7200"/>
    </w:pPr>
    <w:r>
      <w:rPr>
        <w:rFonts w:hint="eastAsia"/>
      </w:rPr>
      <w:t>《</w:t>
    </w:r>
    <w:r>
      <w:rPr>
        <w:rFonts w:hint="eastAsia"/>
      </w:rPr>
      <w:t>管理会计学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c"/>
      </w:rPr>
      <w:instrText xml:space="preserve"> NUMPAGES </w:instrText>
    </w:r>
    <w:r>
      <w:fldChar w:fldCharType="separate"/>
    </w:r>
    <w:r w:rsidR="00640E67">
      <w:rPr>
        <w:rStyle w:val="ac"/>
        <w:noProof/>
      </w:rPr>
      <w:t>2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c"/>
      </w:rPr>
      <w:instrText xml:space="preserve"> PAGE </w:instrText>
    </w:r>
    <w:r>
      <w:fldChar w:fldCharType="separate"/>
    </w:r>
    <w:r w:rsidR="00640E67">
      <w:rPr>
        <w:rStyle w:val="ac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6C4" w:rsidRDefault="00DB26C4">
      <w:r>
        <w:separator/>
      </w:r>
    </w:p>
  </w:footnote>
  <w:footnote w:type="continuationSeparator" w:id="0">
    <w:p w:rsidR="00DB26C4" w:rsidRDefault="00DB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8B1" w:rsidRDefault="00F008B1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Dk1MTQ4MWI4MTkwNWEyZDQ1OGY1ZmM4NGE2ZTgifQ=="/>
  </w:docVars>
  <w:rsids>
    <w:rsidRoot w:val="00172A27"/>
    <w:rsid w:val="000050FD"/>
    <w:rsid w:val="000630C7"/>
    <w:rsid w:val="0006491E"/>
    <w:rsid w:val="000653BB"/>
    <w:rsid w:val="0006549B"/>
    <w:rsid w:val="00065BE6"/>
    <w:rsid w:val="00076445"/>
    <w:rsid w:val="0008616F"/>
    <w:rsid w:val="000A39EF"/>
    <w:rsid w:val="000A7810"/>
    <w:rsid w:val="000B3075"/>
    <w:rsid w:val="000C58C3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1308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34176"/>
    <w:rsid w:val="002423CA"/>
    <w:rsid w:val="00254A40"/>
    <w:rsid w:val="00256509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33585"/>
    <w:rsid w:val="003467EC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411A4"/>
    <w:rsid w:val="004417C7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0754B"/>
    <w:rsid w:val="00521E2E"/>
    <w:rsid w:val="0052588C"/>
    <w:rsid w:val="005418EE"/>
    <w:rsid w:val="00543D82"/>
    <w:rsid w:val="00544F88"/>
    <w:rsid w:val="005542EC"/>
    <w:rsid w:val="005627F3"/>
    <w:rsid w:val="0056649A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0E67"/>
    <w:rsid w:val="00642D53"/>
    <w:rsid w:val="00667165"/>
    <w:rsid w:val="00670FE6"/>
    <w:rsid w:val="006773D4"/>
    <w:rsid w:val="0068515A"/>
    <w:rsid w:val="006911F3"/>
    <w:rsid w:val="00693997"/>
    <w:rsid w:val="00694079"/>
    <w:rsid w:val="00694372"/>
    <w:rsid w:val="006A208C"/>
    <w:rsid w:val="006A282D"/>
    <w:rsid w:val="006A738B"/>
    <w:rsid w:val="006B0445"/>
    <w:rsid w:val="006B0BE0"/>
    <w:rsid w:val="006B7E44"/>
    <w:rsid w:val="006C38D0"/>
    <w:rsid w:val="006C38F8"/>
    <w:rsid w:val="00701A26"/>
    <w:rsid w:val="007055D1"/>
    <w:rsid w:val="00770847"/>
    <w:rsid w:val="007713A7"/>
    <w:rsid w:val="007716B5"/>
    <w:rsid w:val="007A0B36"/>
    <w:rsid w:val="007A6FE6"/>
    <w:rsid w:val="007A7A23"/>
    <w:rsid w:val="007D6E0E"/>
    <w:rsid w:val="007E7746"/>
    <w:rsid w:val="00810FC8"/>
    <w:rsid w:val="008265C0"/>
    <w:rsid w:val="0082708B"/>
    <w:rsid w:val="0084131F"/>
    <w:rsid w:val="00853C1D"/>
    <w:rsid w:val="00857912"/>
    <w:rsid w:val="0088093C"/>
    <w:rsid w:val="00880C6F"/>
    <w:rsid w:val="008834E4"/>
    <w:rsid w:val="008919B0"/>
    <w:rsid w:val="008B0BA9"/>
    <w:rsid w:val="008B54E1"/>
    <w:rsid w:val="008B641D"/>
    <w:rsid w:val="008C10E2"/>
    <w:rsid w:val="008D2791"/>
    <w:rsid w:val="008D5348"/>
    <w:rsid w:val="008E59A5"/>
    <w:rsid w:val="00936686"/>
    <w:rsid w:val="009633DA"/>
    <w:rsid w:val="00971E78"/>
    <w:rsid w:val="00975E74"/>
    <w:rsid w:val="00980247"/>
    <w:rsid w:val="00980FF3"/>
    <w:rsid w:val="009873C0"/>
    <w:rsid w:val="009A0D6B"/>
    <w:rsid w:val="009A4B3A"/>
    <w:rsid w:val="009B2250"/>
    <w:rsid w:val="009B2C1B"/>
    <w:rsid w:val="009C0CBA"/>
    <w:rsid w:val="009F176B"/>
    <w:rsid w:val="009F6995"/>
    <w:rsid w:val="00A06929"/>
    <w:rsid w:val="00A16E3B"/>
    <w:rsid w:val="00A17131"/>
    <w:rsid w:val="00A34167"/>
    <w:rsid w:val="00A37623"/>
    <w:rsid w:val="00A412AC"/>
    <w:rsid w:val="00A43650"/>
    <w:rsid w:val="00A446F9"/>
    <w:rsid w:val="00A6518D"/>
    <w:rsid w:val="00A950ED"/>
    <w:rsid w:val="00AA208C"/>
    <w:rsid w:val="00AA5BD5"/>
    <w:rsid w:val="00AC7550"/>
    <w:rsid w:val="00AD4AC5"/>
    <w:rsid w:val="00AE5919"/>
    <w:rsid w:val="00AE68A4"/>
    <w:rsid w:val="00B01EB2"/>
    <w:rsid w:val="00B12B5A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1AFB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5917"/>
    <w:rsid w:val="00DA610C"/>
    <w:rsid w:val="00DB26C4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3170A"/>
    <w:rsid w:val="00E56B77"/>
    <w:rsid w:val="00E91B0F"/>
    <w:rsid w:val="00EA2797"/>
    <w:rsid w:val="00EA29FE"/>
    <w:rsid w:val="00EB090C"/>
    <w:rsid w:val="00EB1467"/>
    <w:rsid w:val="00EB2E1F"/>
    <w:rsid w:val="00EB3185"/>
    <w:rsid w:val="00EB3750"/>
    <w:rsid w:val="00EC3D8F"/>
    <w:rsid w:val="00EC5E52"/>
    <w:rsid w:val="00ED2CA4"/>
    <w:rsid w:val="00EE1EF2"/>
    <w:rsid w:val="00F008B1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92EF9"/>
    <w:rsid w:val="00FD560A"/>
    <w:rsid w:val="00FE7045"/>
    <w:rsid w:val="02934075"/>
    <w:rsid w:val="06DC31EE"/>
    <w:rsid w:val="0C632E72"/>
    <w:rsid w:val="0DD368F3"/>
    <w:rsid w:val="0E3C73F2"/>
    <w:rsid w:val="102D5E0F"/>
    <w:rsid w:val="14EE7254"/>
    <w:rsid w:val="20346664"/>
    <w:rsid w:val="31604F3C"/>
    <w:rsid w:val="326522D2"/>
    <w:rsid w:val="329F26BA"/>
    <w:rsid w:val="37EE6F1C"/>
    <w:rsid w:val="391952AE"/>
    <w:rsid w:val="39EA65E7"/>
    <w:rsid w:val="3D4D0E32"/>
    <w:rsid w:val="3DED2B57"/>
    <w:rsid w:val="43823241"/>
    <w:rsid w:val="469B65B1"/>
    <w:rsid w:val="4873685F"/>
    <w:rsid w:val="49E64448"/>
    <w:rsid w:val="4C5A79F5"/>
    <w:rsid w:val="4F9214BC"/>
    <w:rsid w:val="5434723C"/>
    <w:rsid w:val="5FED7792"/>
    <w:rsid w:val="6C437BAA"/>
    <w:rsid w:val="73323E7A"/>
    <w:rsid w:val="742C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34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C79147-D36C-47F9-8F0C-C30BCE6A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Application>Microsoft Office Word</Application>
  <DocSecurity>0</DocSecurity>
  <Lines>16</Lines>
  <Paragraphs>4</Paragraphs>
  <ScaleCrop>false</ScaleCrop>
  <Company>nb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3</cp:revision>
  <dcterms:created xsi:type="dcterms:W3CDTF">2020-07-17T01:20:00Z</dcterms:created>
  <dcterms:modified xsi:type="dcterms:W3CDTF">2023-06-18T01:43:00Z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E20E167F1C994B32B33E1D61F8FC6CBC</vt:lpwstr>
  </property>
</Properties>
</file>